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98ED8A" w14:textId="77777777" w:rsidR="00C32CD8" w:rsidRPr="00C32CD8" w:rsidRDefault="00C32CD8" w:rsidP="00C32CD8">
      <w:pPr>
        <w:tabs>
          <w:tab w:val="left" w:pos="993"/>
        </w:tabs>
        <w:ind w:firstLine="709"/>
        <w:jc w:val="right"/>
        <w:rPr>
          <w:bCs/>
          <w:kern w:val="3"/>
          <w:sz w:val="24"/>
          <w:szCs w:val="24"/>
        </w:rPr>
      </w:pPr>
      <w:r w:rsidRPr="00C32CD8">
        <w:rPr>
          <w:bCs/>
          <w:sz w:val="24"/>
          <w:szCs w:val="24"/>
        </w:rPr>
        <w:t>Приложение 6</w:t>
      </w:r>
    </w:p>
    <w:p w14:paraId="23DD9117" w14:textId="77777777" w:rsidR="00C32CD8" w:rsidRPr="00C32CD8" w:rsidRDefault="00C32CD8" w:rsidP="00C32CD8">
      <w:pPr>
        <w:tabs>
          <w:tab w:val="left" w:pos="993"/>
        </w:tabs>
        <w:ind w:firstLine="709"/>
        <w:jc w:val="right"/>
        <w:rPr>
          <w:b/>
          <w:kern w:val="3"/>
          <w:sz w:val="24"/>
          <w:szCs w:val="24"/>
          <w:lang w:val="ro-RO"/>
        </w:rPr>
      </w:pPr>
    </w:p>
    <w:p w14:paraId="0613DD8D" w14:textId="77777777" w:rsidR="00C32CD8" w:rsidRPr="00C32CD8" w:rsidRDefault="00C32CD8" w:rsidP="00C32CD8">
      <w:pPr>
        <w:ind w:right="4" w:firstLine="0"/>
        <w:jc w:val="center"/>
        <w:rPr>
          <w:b/>
          <w:kern w:val="3"/>
          <w:sz w:val="24"/>
          <w:szCs w:val="24"/>
        </w:rPr>
      </w:pPr>
      <w:r w:rsidRPr="00C32CD8">
        <w:rPr>
          <w:b/>
          <w:sz w:val="24"/>
          <w:szCs w:val="24"/>
        </w:rPr>
        <w:t>Информация, подлежащая включению в объявление об участии</w:t>
      </w:r>
    </w:p>
    <w:p w14:paraId="4327148F" w14:textId="77777777" w:rsidR="00C32CD8" w:rsidRPr="00C32CD8" w:rsidRDefault="00C32CD8" w:rsidP="00C32CD8">
      <w:pPr>
        <w:tabs>
          <w:tab w:val="left" w:pos="993"/>
        </w:tabs>
        <w:ind w:firstLine="709"/>
        <w:rPr>
          <w:b/>
          <w:kern w:val="3"/>
          <w:sz w:val="24"/>
          <w:szCs w:val="24"/>
          <w:lang w:val="ro-RO"/>
        </w:rPr>
      </w:pPr>
    </w:p>
    <w:p w14:paraId="4D4C7D7A" w14:textId="77777777" w:rsidR="00C32CD8" w:rsidRPr="00C32CD8" w:rsidRDefault="00C32CD8" w:rsidP="00C32CD8">
      <w:pPr>
        <w:widowControl w:val="0"/>
        <w:tabs>
          <w:tab w:val="left" w:pos="993"/>
        </w:tabs>
        <w:ind w:firstLine="709"/>
        <w:rPr>
          <w:bCs/>
          <w:sz w:val="24"/>
          <w:szCs w:val="24"/>
        </w:rPr>
      </w:pPr>
      <w:r w:rsidRPr="00C32CD8">
        <w:rPr>
          <w:bCs/>
          <w:sz w:val="24"/>
          <w:szCs w:val="24"/>
        </w:rPr>
        <w:t>1. Наименование, государственный идентификационный номер (IDNO), физический адрес, код NUTS, номер телефона, номер факса, адрес электронной почты и интернет-адрес закупающего органа и, если они отличаются, – сведения о подразделении, в котором может быть получена дополнительная информация.</w:t>
      </w:r>
    </w:p>
    <w:p w14:paraId="0A768EC2" w14:textId="77777777" w:rsidR="00C32CD8" w:rsidRPr="00C32CD8" w:rsidRDefault="00C32CD8" w:rsidP="00C32CD8">
      <w:pPr>
        <w:widowControl w:val="0"/>
        <w:tabs>
          <w:tab w:val="left" w:pos="993"/>
        </w:tabs>
        <w:ind w:firstLine="709"/>
        <w:rPr>
          <w:bCs/>
          <w:sz w:val="24"/>
          <w:szCs w:val="24"/>
        </w:rPr>
      </w:pPr>
      <w:r w:rsidRPr="00C32CD8">
        <w:rPr>
          <w:bCs/>
          <w:sz w:val="24"/>
          <w:szCs w:val="24"/>
        </w:rPr>
        <w:t>2. Адрес электронной почты или интернет-адрес, по которому можно получить свободный, прямой, полный и бесплатный доступ к документации о присуждении.</w:t>
      </w:r>
    </w:p>
    <w:p w14:paraId="014F6F5D" w14:textId="77777777" w:rsidR="00C32CD8" w:rsidRPr="00C32CD8" w:rsidRDefault="00C32CD8" w:rsidP="00C32CD8">
      <w:pPr>
        <w:widowControl w:val="0"/>
        <w:tabs>
          <w:tab w:val="left" w:pos="993"/>
        </w:tabs>
        <w:ind w:firstLine="709"/>
        <w:rPr>
          <w:bCs/>
          <w:sz w:val="24"/>
          <w:szCs w:val="24"/>
        </w:rPr>
      </w:pPr>
      <w:r w:rsidRPr="00C32CD8">
        <w:rPr>
          <w:bCs/>
          <w:sz w:val="24"/>
          <w:szCs w:val="24"/>
        </w:rPr>
        <w:t>Если не обеспечивается</w:t>
      </w:r>
      <w:r w:rsidRPr="00C32CD8" w:rsidDel="00A743E6">
        <w:rPr>
          <w:bCs/>
          <w:sz w:val="24"/>
          <w:szCs w:val="24"/>
        </w:rPr>
        <w:t xml:space="preserve"> </w:t>
      </w:r>
      <w:r w:rsidRPr="00C32CD8">
        <w:rPr>
          <w:bCs/>
          <w:sz w:val="24"/>
          <w:szCs w:val="24"/>
        </w:rPr>
        <w:t>свободный, прямой, полный и бесплатный доступ к документации о присуждении, указание на возможный способ получения этой документации.</w:t>
      </w:r>
    </w:p>
    <w:p w14:paraId="5F6FEFD1" w14:textId="77777777" w:rsidR="00C32CD8" w:rsidRPr="00C32CD8" w:rsidRDefault="00C32CD8" w:rsidP="00C32CD8">
      <w:pPr>
        <w:widowControl w:val="0"/>
        <w:tabs>
          <w:tab w:val="left" w:pos="993"/>
        </w:tabs>
        <w:ind w:firstLine="709"/>
        <w:rPr>
          <w:bCs/>
          <w:sz w:val="24"/>
          <w:szCs w:val="24"/>
        </w:rPr>
      </w:pPr>
      <w:r w:rsidRPr="00C32CD8">
        <w:rPr>
          <w:bCs/>
          <w:sz w:val="24"/>
          <w:szCs w:val="24"/>
        </w:rPr>
        <w:t>3. Вид закупающего органа и основной предмет его деятельности.</w:t>
      </w:r>
    </w:p>
    <w:p w14:paraId="64500522" w14:textId="77777777" w:rsidR="00C32CD8" w:rsidRPr="00C32CD8" w:rsidRDefault="00C32CD8" w:rsidP="00C32CD8">
      <w:pPr>
        <w:widowControl w:val="0"/>
        <w:tabs>
          <w:tab w:val="left" w:pos="90"/>
          <w:tab w:val="left" w:pos="993"/>
        </w:tabs>
        <w:ind w:firstLine="709"/>
        <w:rPr>
          <w:bCs/>
          <w:sz w:val="24"/>
          <w:szCs w:val="24"/>
        </w:rPr>
      </w:pPr>
      <w:r w:rsidRPr="00C32CD8">
        <w:rPr>
          <w:bCs/>
          <w:sz w:val="24"/>
          <w:szCs w:val="24"/>
        </w:rPr>
        <w:t>4. При необходимости указание, что закупающий орган является центральным органом по закупкам или что государственная закупка влечет или может повлечь другую форму совместной закупки.</w:t>
      </w:r>
    </w:p>
    <w:p w14:paraId="6CE1D758" w14:textId="77777777" w:rsidR="00C32CD8" w:rsidRPr="00C32CD8" w:rsidRDefault="00C32CD8" w:rsidP="00C32CD8">
      <w:pPr>
        <w:widowControl w:val="0"/>
        <w:tabs>
          <w:tab w:val="left" w:pos="993"/>
        </w:tabs>
        <w:ind w:firstLine="709"/>
        <w:rPr>
          <w:bCs/>
          <w:sz w:val="24"/>
          <w:szCs w:val="24"/>
        </w:rPr>
      </w:pPr>
      <w:r w:rsidRPr="00C32CD8">
        <w:rPr>
          <w:bCs/>
          <w:sz w:val="24"/>
          <w:szCs w:val="24"/>
        </w:rPr>
        <w:t xml:space="preserve">5. Коды CPV; если договор о государственной закупке разделен на лоты, такая информация должна быть предоставлена по каждому лоту. </w:t>
      </w:r>
    </w:p>
    <w:p w14:paraId="2F0F3DAF" w14:textId="77777777" w:rsidR="00C32CD8" w:rsidRPr="00C32CD8" w:rsidRDefault="00C32CD8" w:rsidP="00C32CD8">
      <w:pPr>
        <w:widowControl w:val="0"/>
        <w:tabs>
          <w:tab w:val="left" w:pos="993"/>
        </w:tabs>
        <w:ind w:firstLine="709"/>
        <w:rPr>
          <w:bCs/>
          <w:sz w:val="24"/>
          <w:szCs w:val="24"/>
        </w:rPr>
      </w:pPr>
      <w:r w:rsidRPr="00C32CD8">
        <w:rPr>
          <w:bCs/>
          <w:sz w:val="24"/>
          <w:szCs w:val="24"/>
        </w:rPr>
        <w:t xml:space="preserve">6. Код NUTS основного места выполнения работ в случае договоров о государственных закупках работ или код NUTS основного места </w:t>
      </w:r>
      <w:r w:rsidRPr="00C32CD8">
        <w:rPr>
          <w:bCs/>
          <w:iCs/>
          <w:sz w:val="24"/>
          <w:szCs w:val="24"/>
        </w:rPr>
        <w:t>поставки товаров или оказания услуг </w:t>
      </w:r>
      <w:r w:rsidRPr="00C32CD8">
        <w:rPr>
          <w:bCs/>
          <w:sz w:val="24"/>
          <w:szCs w:val="24"/>
        </w:rPr>
        <w:t xml:space="preserve">в случае договоров о государственных закупках товаров или услуг. Если договор разделен на лоты, такая информация должна быть предоставлена по каждому лоту. </w:t>
      </w:r>
    </w:p>
    <w:p w14:paraId="76BE4002" w14:textId="77777777" w:rsidR="00C32CD8" w:rsidRPr="00C32CD8" w:rsidRDefault="00C32CD8" w:rsidP="00C32CD8">
      <w:pPr>
        <w:widowControl w:val="0"/>
        <w:tabs>
          <w:tab w:val="left" w:pos="993"/>
        </w:tabs>
        <w:ind w:firstLine="709"/>
        <w:rPr>
          <w:bCs/>
          <w:sz w:val="24"/>
          <w:szCs w:val="24"/>
        </w:rPr>
      </w:pPr>
      <w:r w:rsidRPr="00C32CD8">
        <w:rPr>
          <w:bCs/>
          <w:sz w:val="24"/>
          <w:szCs w:val="24"/>
        </w:rPr>
        <w:t>7. Описание государственной закупки: характер и количество или стоимость товаров, характер и масштаб услуг и работ. Если договор разделен на лоты, такая информация должна быть предоставлена по каждому лоту. При необходимости</w:t>
      </w:r>
      <w:r w:rsidRPr="00C32CD8">
        <w:rPr>
          <w:sz w:val="24"/>
          <w:szCs w:val="24"/>
        </w:rPr>
        <w:t xml:space="preserve"> описание вариантов.</w:t>
      </w:r>
    </w:p>
    <w:p w14:paraId="7BAA79F8" w14:textId="77777777" w:rsidR="00C32CD8" w:rsidRPr="00C32CD8" w:rsidRDefault="00C32CD8" w:rsidP="00C32CD8">
      <w:pPr>
        <w:widowControl w:val="0"/>
        <w:tabs>
          <w:tab w:val="left" w:pos="993"/>
        </w:tabs>
        <w:ind w:firstLine="709"/>
        <w:rPr>
          <w:bCs/>
          <w:sz w:val="24"/>
          <w:szCs w:val="24"/>
        </w:rPr>
      </w:pPr>
      <w:r w:rsidRPr="00C32CD8">
        <w:rPr>
          <w:bCs/>
          <w:sz w:val="24"/>
          <w:szCs w:val="24"/>
        </w:rPr>
        <w:t>8. Общая оценочная стоимость договора о государственной закупке/договоров о государственных закупках; если договор разделен на лоты, такая информация должна быть предоставлена по каждому лоту.</w:t>
      </w:r>
    </w:p>
    <w:p w14:paraId="56161900" w14:textId="77777777" w:rsidR="00C32CD8" w:rsidRPr="00C32CD8" w:rsidRDefault="00C32CD8" w:rsidP="00C32CD8">
      <w:pPr>
        <w:widowControl w:val="0"/>
        <w:tabs>
          <w:tab w:val="left" w:pos="993"/>
        </w:tabs>
        <w:ind w:firstLine="709"/>
        <w:rPr>
          <w:bCs/>
          <w:sz w:val="24"/>
          <w:szCs w:val="24"/>
        </w:rPr>
      </w:pPr>
      <w:r w:rsidRPr="00C32CD8">
        <w:rPr>
          <w:bCs/>
          <w:sz w:val="24"/>
          <w:szCs w:val="24"/>
        </w:rPr>
        <w:t>9. Допустимость или запрещение альтернативных оферт.</w:t>
      </w:r>
    </w:p>
    <w:p w14:paraId="28CA0339" w14:textId="77777777" w:rsidR="00C32CD8" w:rsidRPr="00C32CD8" w:rsidRDefault="00C32CD8" w:rsidP="00C32CD8">
      <w:pPr>
        <w:widowControl w:val="0"/>
        <w:tabs>
          <w:tab w:val="left" w:pos="993"/>
        </w:tabs>
        <w:ind w:firstLine="709"/>
        <w:rPr>
          <w:bCs/>
          <w:sz w:val="24"/>
          <w:szCs w:val="24"/>
        </w:rPr>
      </w:pPr>
      <w:r w:rsidRPr="00C32CD8">
        <w:rPr>
          <w:bCs/>
          <w:sz w:val="24"/>
          <w:szCs w:val="24"/>
        </w:rPr>
        <w:t xml:space="preserve">10. График поставки товаров, оказания услуг или выполнения работ и, если возможно, срок действия договора о государственной закупке: </w:t>
      </w:r>
    </w:p>
    <w:p w14:paraId="68EA5C99" w14:textId="77777777" w:rsidR="00C32CD8" w:rsidRPr="00C32CD8" w:rsidRDefault="00C32CD8" w:rsidP="00C32CD8">
      <w:pPr>
        <w:widowControl w:val="0"/>
        <w:tabs>
          <w:tab w:val="left" w:pos="993"/>
        </w:tabs>
        <w:ind w:firstLine="709"/>
        <w:rPr>
          <w:bCs/>
          <w:sz w:val="24"/>
          <w:szCs w:val="24"/>
        </w:rPr>
      </w:pPr>
      <w:r w:rsidRPr="00C32CD8">
        <w:rPr>
          <w:bCs/>
          <w:sz w:val="24"/>
          <w:szCs w:val="24"/>
        </w:rPr>
        <w:t>a) в случае рамочного соглашения указывается предусмотренный срок действия рамочного соглашения с уточнением при необходимости причин, обосновывающих срок действия, превышающий четыре года. По мере возможности указывается стоимость или порядок размера и периодичность договоров о государственных закупках, подлежащих присуждению, количество и при необходимости максимальное количество, предлагаемое экономическими операторами, которые будут принимать участие;</w:t>
      </w:r>
    </w:p>
    <w:p w14:paraId="01EF50F2" w14:textId="77777777" w:rsidR="00C32CD8" w:rsidRPr="00C32CD8" w:rsidRDefault="00C32CD8" w:rsidP="00C32CD8">
      <w:pPr>
        <w:widowControl w:val="0"/>
        <w:tabs>
          <w:tab w:val="left" w:pos="993"/>
        </w:tabs>
        <w:ind w:firstLine="709"/>
        <w:rPr>
          <w:bCs/>
          <w:sz w:val="24"/>
          <w:szCs w:val="24"/>
        </w:rPr>
      </w:pPr>
      <w:r w:rsidRPr="00C32CD8">
        <w:rPr>
          <w:bCs/>
          <w:sz w:val="24"/>
          <w:szCs w:val="24"/>
        </w:rPr>
        <w:t>b) в случае динамической системы закупок указывается предусмотренный срок действия такой системы; по мере возможности указывается стоимость или порядок размера и периодичность договоров, подлежащих присуждению.</w:t>
      </w:r>
    </w:p>
    <w:p w14:paraId="550114F3" w14:textId="77777777" w:rsidR="00C32CD8" w:rsidRPr="00C32CD8" w:rsidRDefault="00C32CD8" w:rsidP="00C32CD8">
      <w:pPr>
        <w:widowControl w:val="0"/>
        <w:tabs>
          <w:tab w:val="left" w:pos="993"/>
        </w:tabs>
        <w:ind w:firstLine="709"/>
        <w:rPr>
          <w:bCs/>
          <w:sz w:val="24"/>
          <w:szCs w:val="24"/>
        </w:rPr>
      </w:pPr>
      <w:r w:rsidRPr="00C32CD8">
        <w:rPr>
          <w:bCs/>
          <w:sz w:val="24"/>
          <w:szCs w:val="24"/>
        </w:rPr>
        <w:t>11. Условия участия, в том числе:</w:t>
      </w:r>
    </w:p>
    <w:p w14:paraId="258DA199" w14:textId="77777777" w:rsidR="00C32CD8" w:rsidRPr="00C32CD8" w:rsidRDefault="00C32CD8" w:rsidP="00C32CD8">
      <w:pPr>
        <w:widowControl w:val="0"/>
        <w:tabs>
          <w:tab w:val="left" w:pos="993"/>
        </w:tabs>
        <w:ind w:firstLine="709"/>
        <w:rPr>
          <w:bCs/>
          <w:sz w:val="24"/>
          <w:szCs w:val="24"/>
        </w:rPr>
      </w:pPr>
      <w:r w:rsidRPr="00C32CD8">
        <w:rPr>
          <w:bCs/>
          <w:sz w:val="24"/>
          <w:szCs w:val="24"/>
        </w:rPr>
        <w:t>a) при необходимости указывается, что договор о государственной закупке зарезервирован за отдельными защищенными мастерскими или интеграционными социальными предприятиями;</w:t>
      </w:r>
    </w:p>
    <w:p w14:paraId="457D239A" w14:textId="77777777" w:rsidR="00C32CD8" w:rsidRPr="00C32CD8" w:rsidRDefault="00C32CD8" w:rsidP="00C32CD8">
      <w:pPr>
        <w:widowControl w:val="0"/>
        <w:tabs>
          <w:tab w:val="left" w:pos="993"/>
        </w:tabs>
        <w:ind w:firstLine="709"/>
        <w:rPr>
          <w:bCs/>
          <w:sz w:val="24"/>
          <w:szCs w:val="24"/>
        </w:rPr>
      </w:pPr>
      <w:r w:rsidRPr="00C32CD8">
        <w:rPr>
          <w:bCs/>
          <w:sz w:val="24"/>
          <w:szCs w:val="24"/>
        </w:rPr>
        <w:t>b) при необходимости указывается, что оказание услуги зарезервировано за определенной профессией на основании отдельных актов, имеющих силу закона, или отдельных административных актов; указываются соответствующие акты, имеющие силу закона, и административные акты;</w:t>
      </w:r>
    </w:p>
    <w:p w14:paraId="6CCBAD8C" w14:textId="77777777" w:rsidR="00C32CD8" w:rsidRPr="00C32CD8" w:rsidRDefault="00C32CD8" w:rsidP="00C32CD8">
      <w:pPr>
        <w:widowControl w:val="0"/>
        <w:tabs>
          <w:tab w:val="left" w:pos="993"/>
        </w:tabs>
        <w:ind w:firstLine="709"/>
        <w:rPr>
          <w:bCs/>
          <w:sz w:val="24"/>
          <w:szCs w:val="24"/>
        </w:rPr>
      </w:pPr>
      <w:r w:rsidRPr="00C32CD8">
        <w:rPr>
          <w:bCs/>
          <w:sz w:val="24"/>
          <w:szCs w:val="24"/>
        </w:rPr>
        <w:t xml:space="preserve">c) перечень и краткое описание критериев правомочности экономических операторов, которые могут обусловить их исключение, и критериев отбора; </w:t>
      </w:r>
      <w:r w:rsidRPr="00C32CD8">
        <w:rPr>
          <w:bCs/>
          <w:sz w:val="24"/>
          <w:szCs w:val="24"/>
        </w:rPr>
        <w:lastRenderedPageBreak/>
        <w:t>минимальный уровень (минимальные уровни) возможных выдвигаемых требований; указывается запрашиваемая информация</w:t>
      </w:r>
      <w:r w:rsidRPr="00C32CD8" w:rsidDel="00017F19">
        <w:rPr>
          <w:bCs/>
          <w:sz w:val="24"/>
          <w:szCs w:val="24"/>
        </w:rPr>
        <w:t xml:space="preserve"> </w:t>
      </w:r>
      <w:r w:rsidRPr="00C32CD8">
        <w:rPr>
          <w:bCs/>
          <w:sz w:val="24"/>
          <w:szCs w:val="24"/>
        </w:rPr>
        <w:t>(декларации под свою ответственность, документация).</w:t>
      </w:r>
    </w:p>
    <w:p w14:paraId="5CCDD58F" w14:textId="77777777" w:rsidR="00C32CD8" w:rsidRPr="00C32CD8" w:rsidRDefault="00C32CD8" w:rsidP="00C32CD8">
      <w:pPr>
        <w:widowControl w:val="0"/>
        <w:tabs>
          <w:tab w:val="left" w:pos="993"/>
        </w:tabs>
        <w:ind w:firstLine="709"/>
        <w:rPr>
          <w:bCs/>
          <w:sz w:val="24"/>
          <w:szCs w:val="24"/>
        </w:rPr>
      </w:pPr>
      <w:r w:rsidRPr="00C32CD8">
        <w:rPr>
          <w:bCs/>
          <w:sz w:val="24"/>
          <w:szCs w:val="24"/>
        </w:rPr>
        <w:t>12. Вид процедуры присуждения; при необходимости причины использования ускоренной процедуры (в случае открытых торгов, ограниченных торгов или конкурентных переговоров).</w:t>
      </w:r>
    </w:p>
    <w:p w14:paraId="5F86B8F9" w14:textId="77777777" w:rsidR="00C32CD8" w:rsidRPr="00C32CD8" w:rsidRDefault="00C32CD8" w:rsidP="00C32CD8">
      <w:pPr>
        <w:widowControl w:val="0"/>
        <w:tabs>
          <w:tab w:val="left" w:pos="993"/>
        </w:tabs>
        <w:ind w:firstLine="709"/>
        <w:rPr>
          <w:bCs/>
          <w:sz w:val="24"/>
          <w:szCs w:val="24"/>
        </w:rPr>
      </w:pPr>
      <w:r w:rsidRPr="00C32CD8">
        <w:rPr>
          <w:bCs/>
          <w:sz w:val="24"/>
          <w:szCs w:val="24"/>
        </w:rPr>
        <w:t>13. При необходимости указывается, что речь идет:</w:t>
      </w:r>
    </w:p>
    <w:p w14:paraId="4E73031F" w14:textId="77777777" w:rsidR="00C32CD8" w:rsidRPr="00C32CD8" w:rsidRDefault="00C32CD8" w:rsidP="00C32CD8">
      <w:pPr>
        <w:widowControl w:val="0"/>
        <w:tabs>
          <w:tab w:val="left" w:pos="993"/>
        </w:tabs>
        <w:ind w:firstLine="709"/>
        <w:rPr>
          <w:bCs/>
          <w:sz w:val="24"/>
          <w:szCs w:val="24"/>
        </w:rPr>
      </w:pPr>
      <w:r w:rsidRPr="00C32CD8">
        <w:rPr>
          <w:bCs/>
          <w:sz w:val="24"/>
          <w:szCs w:val="24"/>
        </w:rPr>
        <w:t>a) о рамочном соглашении;</w:t>
      </w:r>
    </w:p>
    <w:p w14:paraId="2D4B8DDC" w14:textId="77777777" w:rsidR="00C32CD8" w:rsidRPr="00C32CD8" w:rsidRDefault="00C32CD8" w:rsidP="00C32CD8">
      <w:pPr>
        <w:widowControl w:val="0"/>
        <w:tabs>
          <w:tab w:val="left" w:pos="993"/>
        </w:tabs>
        <w:ind w:firstLine="709"/>
        <w:rPr>
          <w:bCs/>
          <w:sz w:val="24"/>
          <w:szCs w:val="24"/>
        </w:rPr>
      </w:pPr>
      <w:r w:rsidRPr="00C32CD8">
        <w:rPr>
          <w:bCs/>
          <w:sz w:val="24"/>
          <w:szCs w:val="24"/>
        </w:rPr>
        <w:t>b) о динамической системе закупок;</w:t>
      </w:r>
    </w:p>
    <w:p w14:paraId="468E0358" w14:textId="77777777" w:rsidR="00C32CD8" w:rsidRPr="00C32CD8" w:rsidRDefault="00C32CD8" w:rsidP="00C32CD8">
      <w:pPr>
        <w:widowControl w:val="0"/>
        <w:tabs>
          <w:tab w:val="left" w:pos="993"/>
        </w:tabs>
        <w:ind w:firstLine="709"/>
        <w:rPr>
          <w:bCs/>
          <w:sz w:val="24"/>
          <w:szCs w:val="24"/>
        </w:rPr>
      </w:pPr>
      <w:r w:rsidRPr="00C32CD8">
        <w:rPr>
          <w:bCs/>
          <w:sz w:val="24"/>
          <w:szCs w:val="24"/>
        </w:rPr>
        <w:t>c) об электронных торгах (в случае открытых торгов, ограниченных торгов или конкурентных переговоров).</w:t>
      </w:r>
    </w:p>
    <w:p w14:paraId="51231950" w14:textId="77777777" w:rsidR="00C32CD8" w:rsidRPr="00C32CD8" w:rsidRDefault="00C32CD8" w:rsidP="00C32CD8">
      <w:pPr>
        <w:widowControl w:val="0"/>
        <w:tabs>
          <w:tab w:val="left" w:pos="993"/>
        </w:tabs>
        <w:ind w:firstLine="709"/>
        <w:rPr>
          <w:bCs/>
          <w:sz w:val="24"/>
          <w:szCs w:val="24"/>
        </w:rPr>
      </w:pPr>
      <w:r w:rsidRPr="00C32CD8">
        <w:rPr>
          <w:bCs/>
          <w:sz w:val="24"/>
          <w:szCs w:val="24"/>
        </w:rPr>
        <w:t xml:space="preserve">14. Если договор о государственной закупке разделен на лоты, отмечается возможность подачи оферт на один лот, на несколько лотов или на все лоты. Указываются любые возможные ограничения относительно количества лотов, которые могут быть присуждены одному и тому же оференту. Если договор не разделен на лоты, указываются причины, за исключением случая, когда такая информация предоставлена в отчете. </w:t>
      </w:r>
    </w:p>
    <w:p w14:paraId="4A8F03CE" w14:textId="77777777" w:rsidR="00C32CD8" w:rsidRPr="00C32CD8" w:rsidRDefault="00C32CD8" w:rsidP="00C32CD8">
      <w:pPr>
        <w:widowControl w:val="0"/>
        <w:tabs>
          <w:tab w:val="left" w:pos="993"/>
        </w:tabs>
        <w:ind w:firstLine="709"/>
        <w:rPr>
          <w:bCs/>
          <w:sz w:val="24"/>
          <w:szCs w:val="24"/>
        </w:rPr>
      </w:pPr>
      <w:r w:rsidRPr="00C32CD8">
        <w:rPr>
          <w:bCs/>
          <w:sz w:val="24"/>
          <w:szCs w:val="24"/>
        </w:rPr>
        <w:t>15. При необходимости любые запрашиваемые гарантии.</w:t>
      </w:r>
    </w:p>
    <w:p w14:paraId="6B91C555" w14:textId="77777777" w:rsidR="00C32CD8" w:rsidRPr="00C32CD8" w:rsidRDefault="00C32CD8" w:rsidP="00C32CD8">
      <w:pPr>
        <w:widowControl w:val="0"/>
        <w:tabs>
          <w:tab w:val="left" w:pos="993"/>
        </w:tabs>
        <w:ind w:firstLine="709"/>
        <w:rPr>
          <w:bCs/>
          <w:sz w:val="24"/>
          <w:szCs w:val="24"/>
        </w:rPr>
      </w:pPr>
      <w:r w:rsidRPr="00C32CD8">
        <w:rPr>
          <w:bCs/>
          <w:sz w:val="24"/>
          <w:szCs w:val="24"/>
        </w:rPr>
        <w:t>16. Основные способы финансирования и оплаты и/или ссылки на положения, которые их содержат.</w:t>
      </w:r>
    </w:p>
    <w:p w14:paraId="524C435E" w14:textId="77777777" w:rsidR="00C32CD8" w:rsidRPr="00C32CD8" w:rsidRDefault="00C32CD8" w:rsidP="00C32CD8">
      <w:pPr>
        <w:widowControl w:val="0"/>
        <w:tabs>
          <w:tab w:val="left" w:pos="993"/>
        </w:tabs>
        <w:ind w:firstLine="709"/>
        <w:rPr>
          <w:bCs/>
          <w:sz w:val="24"/>
          <w:szCs w:val="24"/>
        </w:rPr>
      </w:pPr>
      <w:r w:rsidRPr="00C32CD8">
        <w:rPr>
          <w:bCs/>
          <w:sz w:val="24"/>
          <w:szCs w:val="24"/>
        </w:rPr>
        <w:t>17. Для процедур ограниченных торгов, конкурентных переговоров, конкурентного диалога или инновационного партнерства в случае, если применяется вариант сокращения количества кандидатов, которых пригласят представить оферты, провести переговоры или участвовать в конкурентном диалоге: минимальное и при необходимости максимальное предлагаемое количество кандидатов, а также объективные критерии, которые подлежат применению для отбора соответствующих кандидатов.</w:t>
      </w:r>
    </w:p>
    <w:p w14:paraId="52C13FCB" w14:textId="77777777" w:rsidR="00C32CD8" w:rsidRPr="00C32CD8" w:rsidRDefault="00C32CD8" w:rsidP="00C32CD8">
      <w:pPr>
        <w:widowControl w:val="0"/>
        <w:tabs>
          <w:tab w:val="left" w:pos="993"/>
        </w:tabs>
        <w:ind w:firstLine="709"/>
        <w:rPr>
          <w:bCs/>
          <w:sz w:val="24"/>
          <w:szCs w:val="24"/>
        </w:rPr>
      </w:pPr>
      <w:r w:rsidRPr="00C32CD8">
        <w:rPr>
          <w:bCs/>
          <w:sz w:val="24"/>
          <w:szCs w:val="24"/>
        </w:rPr>
        <w:t xml:space="preserve">18. Для процедур конкурентных переговоров, конкурентного диалога и инновационного партнерства при необходимости указывается использование процедуры, проводимой в виде последовательных этапов, в целях прогрессивного сокращения количества оферт, по которым </w:t>
      </w:r>
      <w:proofErr w:type="gramStart"/>
      <w:r w:rsidRPr="00C32CD8">
        <w:rPr>
          <w:bCs/>
          <w:sz w:val="24"/>
          <w:szCs w:val="24"/>
        </w:rPr>
        <w:t>предстоит</w:t>
      </w:r>
      <w:proofErr w:type="gramEnd"/>
      <w:r w:rsidRPr="00C32CD8">
        <w:rPr>
          <w:bCs/>
          <w:sz w:val="24"/>
          <w:szCs w:val="24"/>
        </w:rPr>
        <w:t xml:space="preserve"> провести переговоры, или решений, подлежащих обсуждению.</w:t>
      </w:r>
    </w:p>
    <w:p w14:paraId="5AB935FF" w14:textId="77777777" w:rsidR="00C32CD8" w:rsidRPr="00C32CD8" w:rsidRDefault="00C32CD8" w:rsidP="00C32CD8">
      <w:pPr>
        <w:widowControl w:val="0"/>
        <w:tabs>
          <w:tab w:val="left" w:pos="993"/>
        </w:tabs>
        <w:ind w:firstLine="709"/>
        <w:rPr>
          <w:bCs/>
          <w:sz w:val="24"/>
          <w:szCs w:val="24"/>
        </w:rPr>
      </w:pPr>
      <w:r w:rsidRPr="00C32CD8">
        <w:rPr>
          <w:bCs/>
          <w:sz w:val="24"/>
          <w:szCs w:val="24"/>
        </w:rPr>
        <w:t>19. При необходимости особые условия, от которых зависит исполнение договора о государственной закупке.</w:t>
      </w:r>
    </w:p>
    <w:p w14:paraId="0E595D05" w14:textId="77777777" w:rsidR="00C32CD8" w:rsidRPr="00C32CD8" w:rsidRDefault="00C32CD8" w:rsidP="00C32CD8">
      <w:pPr>
        <w:widowControl w:val="0"/>
        <w:tabs>
          <w:tab w:val="left" w:pos="993"/>
        </w:tabs>
        <w:ind w:firstLine="709"/>
        <w:rPr>
          <w:bCs/>
          <w:sz w:val="24"/>
          <w:szCs w:val="24"/>
        </w:rPr>
      </w:pPr>
      <w:r w:rsidRPr="00C32CD8">
        <w:rPr>
          <w:bCs/>
          <w:sz w:val="24"/>
          <w:szCs w:val="24"/>
        </w:rPr>
        <w:t>20. Критерии, подлежащие применению для присуждения договора</w:t>
      </w:r>
      <w:r w:rsidRPr="00C32CD8">
        <w:rPr>
          <w:bCs/>
          <w:sz w:val="24"/>
          <w:szCs w:val="24"/>
          <w:lang w:val="ro-MD"/>
        </w:rPr>
        <w:t xml:space="preserve"> </w:t>
      </w:r>
      <w:r w:rsidRPr="00C32CD8">
        <w:rPr>
          <w:bCs/>
          <w:sz w:val="24"/>
          <w:szCs w:val="24"/>
        </w:rPr>
        <w:t>о государственной закупке/договоров о государственных закупках. За исключением случая, когда наиболее выгодная с экономической точки зрения оферта определяется только на основе цены, указываются критерии, соответствующие наиболее выгодной с экономической точки зрения оферте, а также их удельный вес, если они не фигурируют в технических заданиях или – в случае конкурентного диалога – в описательном документе.</w:t>
      </w:r>
    </w:p>
    <w:p w14:paraId="15523314" w14:textId="77777777" w:rsidR="00C32CD8" w:rsidRPr="00C32CD8" w:rsidRDefault="00C32CD8" w:rsidP="00C32CD8">
      <w:pPr>
        <w:widowControl w:val="0"/>
        <w:tabs>
          <w:tab w:val="left" w:pos="993"/>
        </w:tabs>
        <w:ind w:firstLine="709"/>
        <w:rPr>
          <w:bCs/>
          <w:sz w:val="24"/>
          <w:szCs w:val="24"/>
        </w:rPr>
      </w:pPr>
      <w:r w:rsidRPr="00C32CD8">
        <w:rPr>
          <w:bCs/>
          <w:sz w:val="24"/>
          <w:szCs w:val="24"/>
        </w:rPr>
        <w:t>21. Крайний срок приема оферт (в случае открытых торгов) или заявок на участие (в случае ограниченных торгов, конкурентных переговоров, динамической системы закупок, конкурентного диалога, инновационного партнерства).</w:t>
      </w:r>
    </w:p>
    <w:p w14:paraId="0D7E4AD4" w14:textId="77777777" w:rsidR="00C32CD8" w:rsidRPr="00C32CD8" w:rsidRDefault="00C32CD8" w:rsidP="00C32CD8">
      <w:pPr>
        <w:widowControl w:val="0"/>
        <w:tabs>
          <w:tab w:val="left" w:pos="993"/>
        </w:tabs>
        <w:ind w:firstLine="709"/>
        <w:rPr>
          <w:bCs/>
          <w:sz w:val="24"/>
          <w:szCs w:val="24"/>
        </w:rPr>
      </w:pPr>
      <w:r w:rsidRPr="00C32CD8">
        <w:rPr>
          <w:bCs/>
          <w:sz w:val="24"/>
          <w:szCs w:val="24"/>
        </w:rPr>
        <w:t>22. Адрес, по которому необходимо представить оферты или заявки на участие.</w:t>
      </w:r>
    </w:p>
    <w:p w14:paraId="41096236" w14:textId="77777777" w:rsidR="00C32CD8" w:rsidRPr="00C32CD8" w:rsidRDefault="00C32CD8" w:rsidP="00C32CD8">
      <w:pPr>
        <w:widowControl w:val="0"/>
        <w:tabs>
          <w:tab w:val="left" w:pos="993"/>
        </w:tabs>
        <w:ind w:firstLine="709"/>
        <w:rPr>
          <w:bCs/>
          <w:sz w:val="24"/>
          <w:szCs w:val="24"/>
        </w:rPr>
      </w:pPr>
      <w:r w:rsidRPr="00C32CD8">
        <w:rPr>
          <w:bCs/>
          <w:sz w:val="24"/>
          <w:szCs w:val="24"/>
        </w:rPr>
        <w:t>23. В случае открытых торгов:</w:t>
      </w:r>
    </w:p>
    <w:p w14:paraId="20097821" w14:textId="77777777" w:rsidR="00C32CD8" w:rsidRPr="00C32CD8" w:rsidRDefault="00C32CD8" w:rsidP="00C32CD8">
      <w:pPr>
        <w:widowControl w:val="0"/>
        <w:tabs>
          <w:tab w:val="left" w:pos="993"/>
        </w:tabs>
        <w:ind w:firstLine="709"/>
        <w:rPr>
          <w:bCs/>
          <w:sz w:val="24"/>
          <w:szCs w:val="24"/>
        </w:rPr>
      </w:pPr>
      <w:r w:rsidRPr="00C32CD8">
        <w:rPr>
          <w:bCs/>
          <w:sz w:val="24"/>
          <w:szCs w:val="24"/>
        </w:rPr>
        <w:t>a) период времени, в течение которого оферент должен сохранять свою оферту;</w:t>
      </w:r>
    </w:p>
    <w:p w14:paraId="26523A8B" w14:textId="77777777" w:rsidR="00C32CD8" w:rsidRPr="00C32CD8" w:rsidRDefault="00C32CD8" w:rsidP="00C32CD8">
      <w:pPr>
        <w:widowControl w:val="0"/>
        <w:tabs>
          <w:tab w:val="left" w:pos="993"/>
        </w:tabs>
        <w:ind w:firstLine="709"/>
        <w:rPr>
          <w:bCs/>
          <w:sz w:val="24"/>
          <w:szCs w:val="24"/>
        </w:rPr>
      </w:pPr>
      <w:r w:rsidRPr="00C32CD8">
        <w:rPr>
          <w:bCs/>
          <w:sz w:val="24"/>
          <w:szCs w:val="24"/>
        </w:rPr>
        <w:t>b) дата, время и место открытия оферт;</w:t>
      </w:r>
    </w:p>
    <w:p w14:paraId="3B9CB4F2" w14:textId="77777777" w:rsidR="00C32CD8" w:rsidRPr="00C32CD8" w:rsidRDefault="00C32CD8" w:rsidP="00C32CD8">
      <w:pPr>
        <w:widowControl w:val="0"/>
        <w:tabs>
          <w:tab w:val="left" w:pos="993"/>
        </w:tabs>
        <w:ind w:firstLine="709"/>
        <w:rPr>
          <w:bCs/>
          <w:sz w:val="24"/>
          <w:szCs w:val="24"/>
        </w:rPr>
      </w:pPr>
      <w:r w:rsidRPr="00C32CD8">
        <w:rPr>
          <w:bCs/>
          <w:sz w:val="24"/>
          <w:szCs w:val="24"/>
        </w:rPr>
        <w:t>c) лица, уполномоченные присутствовать при этом открытии.</w:t>
      </w:r>
    </w:p>
    <w:p w14:paraId="05D68893" w14:textId="77777777" w:rsidR="00C32CD8" w:rsidRPr="00C32CD8" w:rsidRDefault="00C32CD8" w:rsidP="00C32CD8">
      <w:pPr>
        <w:widowControl w:val="0"/>
        <w:tabs>
          <w:tab w:val="left" w:pos="993"/>
        </w:tabs>
        <w:ind w:firstLine="709"/>
        <w:rPr>
          <w:bCs/>
          <w:sz w:val="24"/>
          <w:szCs w:val="24"/>
        </w:rPr>
      </w:pPr>
      <w:r w:rsidRPr="00C32CD8">
        <w:rPr>
          <w:bCs/>
          <w:sz w:val="24"/>
          <w:szCs w:val="24"/>
        </w:rPr>
        <w:t>24. Язык или языки, на которых должны быть составлены оферты или заявки на участие.</w:t>
      </w:r>
    </w:p>
    <w:p w14:paraId="12422F05" w14:textId="77777777" w:rsidR="00C32CD8" w:rsidRPr="00C32CD8" w:rsidRDefault="00C32CD8" w:rsidP="00C32CD8">
      <w:pPr>
        <w:widowControl w:val="0"/>
        <w:tabs>
          <w:tab w:val="left" w:pos="993"/>
        </w:tabs>
        <w:ind w:firstLine="709"/>
        <w:rPr>
          <w:bCs/>
          <w:sz w:val="24"/>
          <w:szCs w:val="24"/>
        </w:rPr>
      </w:pPr>
      <w:r w:rsidRPr="00C32CD8">
        <w:rPr>
          <w:bCs/>
          <w:sz w:val="24"/>
          <w:szCs w:val="24"/>
        </w:rPr>
        <w:t>25. При необходимости указывается, предусматривается ли:</w:t>
      </w:r>
    </w:p>
    <w:p w14:paraId="10128E76" w14:textId="77777777" w:rsidR="00C32CD8" w:rsidRPr="00C32CD8" w:rsidRDefault="00C32CD8" w:rsidP="00C32CD8">
      <w:pPr>
        <w:widowControl w:val="0"/>
        <w:tabs>
          <w:tab w:val="left" w:pos="993"/>
        </w:tabs>
        <w:ind w:firstLine="709"/>
        <w:rPr>
          <w:bCs/>
          <w:sz w:val="24"/>
          <w:szCs w:val="24"/>
        </w:rPr>
      </w:pPr>
      <w:r w:rsidRPr="00C32CD8">
        <w:rPr>
          <w:bCs/>
          <w:sz w:val="24"/>
          <w:szCs w:val="24"/>
        </w:rPr>
        <w:t>a) допустимая подача оферт или заявок на участие в электронной форме;</w:t>
      </w:r>
    </w:p>
    <w:p w14:paraId="32F00ED3" w14:textId="77777777" w:rsidR="00C32CD8" w:rsidRPr="00C32CD8" w:rsidRDefault="00C32CD8" w:rsidP="00C32CD8">
      <w:pPr>
        <w:widowControl w:val="0"/>
        <w:tabs>
          <w:tab w:val="left" w:pos="993"/>
        </w:tabs>
        <w:ind w:firstLine="709"/>
        <w:rPr>
          <w:bCs/>
          <w:sz w:val="24"/>
          <w:szCs w:val="24"/>
        </w:rPr>
      </w:pPr>
      <w:r w:rsidRPr="00C32CD8">
        <w:rPr>
          <w:bCs/>
          <w:sz w:val="24"/>
          <w:szCs w:val="24"/>
        </w:rPr>
        <w:t>b) использование системы электронных заказов;</w:t>
      </w:r>
    </w:p>
    <w:p w14:paraId="3E7572D8" w14:textId="77777777" w:rsidR="00C32CD8" w:rsidRPr="00C32CD8" w:rsidRDefault="00C32CD8" w:rsidP="00C32CD8">
      <w:pPr>
        <w:widowControl w:val="0"/>
        <w:tabs>
          <w:tab w:val="left" w:pos="993"/>
        </w:tabs>
        <w:ind w:firstLine="709"/>
        <w:rPr>
          <w:bCs/>
          <w:sz w:val="24"/>
          <w:szCs w:val="24"/>
        </w:rPr>
      </w:pPr>
      <w:r w:rsidRPr="00C32CD8">
        <w:rPr>
          <w:bCs/>
          <w:sz w:val="24"/>
          <w:szCs w:val="24"/>
        </w:rPr>
        <w:lastRenderedPageBreak/>
        <w:t>c) фактурирование в электронной форме;</w:t>
      </w:r>
    </w:p>
    <w:p w14:paraId="3AC3992B" w14:textId="77777777" w:rsidR="00C32CD8" w:rsidRPr="00C32CD8" w:rsidRDefault="00C32CD8" w:rsidP="00C32CD8">
      <w:pPr>
        <w:widowControl w:val="0"/>
        <w:tabs>
          <w:tab w:val="left" w:pos="993"/>
        </w:tabs>
        <w:ind w:firstLine="709"/>
        <w:rPr>
          <w:bCs/>
          <w:sz w:val="24"/>
          <w:szCs w:val="24"/>
        </w:rPr>
      </w:pPr>
      <w:r w:rsidRPr="00C32CD8">
        <w:rPr>
          <w:bCs/>
          <w:sz w:val="24"/>
          <w:szCs w:val="24"/>
        </w:rPr>
        <w:t>d) использование электронных платежей.</w:t>
      </w:r>
    </w:p>
    <w:p w14:paraId="7CD7D225" w14:textId="77777777" w:rsidR="00C32CD8" w:rsidRPr="00C32CD8" w:rsidRDefault="00C32CD8" w:rsidP="00C32CD8">
      <w:pPr>
        <w:widowControl w:val="0"/>
        <w:tabs>
          <w:tab w:val="left" w:pos="993"/>
        </w:tabs>
        <w:ind w:firstLine="709"/>
        <w:rPr>
          <w:bCs/>
          <w:sz w:val="24"/>
          <w:szCs w:val="24"/>
        </w:rPr>
      </w:pPr>
      <w:r w:rsidRPr="00C32CD8">
        <w:rPr>
          <w:bCs/>
          <w:sz w:val="24"/>
          <w:szCs w:val="24"/>
        </w:rPr>
        <w:t>26. Указывается, относится ли соответствующий договор о государственной закупке к проекту и/или программе, финансируемой за счет средств Европейского Союза и/или одного из государств – членов ЕС.</w:t>
      </w:r>
    </w:p>
    <w:p w14:paraId="7EA5D93D" w14:textId="77777777" w:rsidR="00C32CD8" w:rsidRPr="00C32CD8" w:rsidRDefault="00C32CD8" w:rsidP="00C32CD8">
      <w:pPr>
        <w:widowControl w:val="0"/>
        <w:tabs>
          <w:tab w:val="left" w:pos="993"/>
        </w:tabs>
        <w:ind w:firstLine="709"/>
        <w:rPr>
          <w:bCs/>
          <w:sz w:val="24"/>
          <w:szCs w:val="24"/>
        </w:rPr>
      </w:pPr>
      <w:r w:rsidRPr="00C32CD8">
        <w:rPr>
          <w:bCs/>
          <w:sz w:val="24"/>
          <w:szCs w:val="24"/>
        </w:rPr>
        <w:t>27. Наименование и адрес органа по разрешению споров и при необходимости по медиации. Точная информация о сроках процедур оспаривания или при необходимости наименование, адрес, номер телефона, номер факса и адрес электронной почты подразделения, в котором может быть получена такая информация.</w:t>
      </w:r>
    </w:p>
    <w:p w14:paraId="3B8BE67B" w14:textId="77777777" w:rsidR="00C32CD8" w:rsidRPr="00C32CD8" w:rsidRDefault="00C32CD8" w:rsidP="00C32CD8">
      <w:pPr>
        <w:widowControl w:val="0"/>
        <w:tabs>
          <w:tab w:val="left" w:pos="993"/>
        </w:tabs>
        <w:ind w:firstLine="709"/>
        <w:rPr>
          <w:bCs/>
          <w:sz w:val="24"/>
          <w:szCs w:val="24"/>
        </w:rPr>
      </w:pPr>
      <w:r w:rsidRPr="00C32CD8">
        <w:rPr>
          <w:bCs/>
          <w:sz w:val="24"/>
          <w:szCs w:val="24"/>
        </w:rPr>
        <w:t>28. Дата/даты и ссылка/ссылки на предыдущие публикации в Официальном журнале Европейского Союза о договоре о государственной закупке/договорах о государственных закупках, к которым относится соответствующее объявление.</w:t>
      </w:r>
    </w:p>
    <w:p w14:paraId="0115D720" w14:textId="77777777" w:rsidR="00C32CD8" w:rsidRPr="00C32CD8" w:rsidRDefault="00C32CD8" w:rsidP="00C32CD8">
      <w:pPr>
        <w:widowControl w:val="0"/>
        <w:tabs>
          <w:tab w:val="left" w:pos="993"/>
        </w:tabs>
        <w:ind w:firstLine="709"/>
        <w:rPr>
          <w:bCs/>
          <w:sz w:val="24"/>
          <w:szCs w:val="24"/>
        </w:rPr>
      </w:pPr>
      <w:r w:rsidRPr="00C32CD8">
        <w:rPr>
          <w:bCs/>
          <w:sz w:val="24"/>
          <w:szCs w:val="24"/>
        </w:rPr>
        <w:t>29. В случае систематических государственных закупок – примерный график опубликования будущих объявлений.</w:t>
      </w:r>
    </w:p>
    <w:p w14:paraId="3DEAA351" w14:textId="77777777" w:rsidR="00C32CD8" w:rsidRPr="00C32CD8" w:rsidRDefault="00C32CD8" w:rsidP="00C32CD8">
      <w:pPr>
        <w:widowControl w:val="0"/>
        <w:tabs>
          <w:tab w:val="left" w:pos="993"/>
        </w:tabs>
        <w:ind w:firstLine="709"/>
        <w:rPr>
          <w:bCs/>
          <w:sz w:val="24"/>
          <w:szCs w:val="24"/>
        </w:rPr>
      </w:pPr>
      <w:r w:rsidRPr="00C32CD8">
        <w:rPr>
          <w:bCs/>
          <w:sz w:val="24"/>
          <w:szCs w:val="24"/>
        </w:rPr>
        <w:t>30. Дата опубликования объявления о намерении или при необходимости уточнение, что такое объявление не было опубликовано.</w:t>
      </w:r>
    </w:p>
    <w:p w14:paraId="6D883935" w14:textId="77777777" w:rsidR="00C32CD8" w:rsidRPr="00C32CD8" w:rsidRDefault="00C32CD8" w:rsidP="00C32CD8">
      <w:pPr>
        <w:widowControl w:val="0"/>
        <w:tabs>
          <w:tab w:val="left" w:pos="993"/>
        </w:tabs>
        <w:ind w:firstLine="709"/>
        <w:rPr>
          <w:bCs/>
          <w:sz w:val="24"/>
          <w:szCs w:val="24"/>
        </w:rPr>
      </w:pPr>
      <w:r w:rsidRPr="00C32CD8">
        <w:rPr>
          <w:bCs/>
          <w:sz w:val="24"/>
          <w:szCs w:val="24"/>
        </w:rPr>
        <w:t>31. Дата передачи для опубликования объявления об участии.</w:t>
      </w:r>
    </w:p>
    <w:p w14:paraId="1E07A94E" w14:textId="77777777" w:rsidR="00C32CD8" w:rsidRPr="00C32CD8" w:rsidRDefault="00C32CD8" w:rsidP="00C32CD8">
      <w:pPr>
        <w:widowControl w:val="0"/>
        <w:tabs>
          <w:tab w:val="left" w:pos="993"/>
        </w:tabs>
        <w:ind w:firstLine="709"/>
        <w:rPr>
          <w:bCs/>
          <w:sz w:val="24"/>
          <w:szCs w:val="24"/>
        </w:rPr>
      </w:pPr>
      <w:r w:rsidRPr="00C32CD8">
        <w:rPr>
          <w:sz w:val="24"/>
          <w:szCs w:val="24"/>
        </w:rPr>
        <w:t>32. Уточняется, подпадает ли договор о государственной закупке под действие Соглашения о государственных закупках ВТО.</w:t>
      </w:r>
    </w:p>
    <w:p w14:paraId="26F6E357" w14:textId="77777777" w:rsidR="00C32CD8" w:rsidRPr="00C32CD8" w:rsidRDefault="00C32CD8" w:rsidP="00C32CD8">
      <w:pPr>
        <w:widowControl w:val="0"/>
        <w:tabs>
          <w:tab w:val="left" w:pos="993"/>
        </w:tabs>
        <w:ind w:firstLine="709"/>
        <w:rPr>
          <w:bCs/>
          <w:sz w:val="24"/>
          <w:szCs w:val="24"/>
        </w:rPr>
      </w:pPr>
      <w:r w:rsidRPr="00C32CD8">
        <w:rPr>
          <w:bCs/>
          <w:sz w:val="24"/>
          <w:szCs w:val="24"/>
        </w:rPr>
        <w:t>33. Другая актуальная информация.</w:t>
      </w:r>
    </w:p>
    <w:p w14:paraId="16B19347" w14:textId="77777777" w:rsidR="00B32DE8" w:rsidRPr="00C32CD8" w:rsidRDefault="00B32DE8">
      <w:pPr>
        <w:rPr>
          <w:sz w:val="24"/>
          <w:szCs w:val="24"/>
        </w:rPr>
      </w:pPr>
    </w:p>
    <w:sectPr w:rsidR="00B32DE8" w:rsidRPr="00C32CD8" w:rsidSect="00812258">
      <w:pgSz w:w="11907" w:h="16840" w:code="9"/>
      <w:pgMar w:top="851" w:right="964" w:bottom="1134" w:left="1814" w:header="278" w:footer="851" w:gutter="0"/>
      <w:cols w:space="708"/>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drawingGridHorizontalSpacing w:val="100"/>
  <w:drawingGridVerticalSpacing w:val="136"/>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CD8"/>
    <w:rsid w:val="0058181B"/>
    <w:rsid w:val="005C0197"/>
    <w:rsid w:val="006D1F82"/>
    <w:rsid w:val="00812258"/>
    <w:rsid w:val="00B32DE8"/>
    <w:rsid w:val="00C32CD8"/>
    <w:rsid w:val="00CC2EF1"/>
    <w:rsid w:val="00D40252"/>
    <w:rsid w:val="00DC3938"/>
    <w:rsid w:val="00F62E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75FE3"/>
  <w15:chartTrackingRefBased/>
  <w15:docId w15:val="{FDFBC1D6-E789-4082-B50D-95E6BE8B7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2CD8"/>
    <w:pPr>
      <w:spacing w:after="0" w:line="240" w:lineRule="auto"/>
      <w:ind w:firstLine="720"/>
      <w:jc w:val="both"/>
    </w:pPr>
    <w:rPr>
      <w:rFonts w:ascii="Times New Roman" w:eastAsia="Times New Roman" w:hAnsi="Times New Roman" w:cs="Times New Roman"/>
      <w:kern w:val="0"/>
      <w:sz w:val="20"/>
      <w:szCs w:val="20"/>
      <w14:ligatures w14:val="none"/>
    </w:rPr>
  </w:style>
  <w:style w:type="paragraph" w:styleId="1">
    <w:name w:val="heading 1"/>
    <w:basedOn w:val="a"/>
    <w:next w:val="a"/>
    <w:link w:val="10"/>
    <w:uiPriority w:val="9"/>
    <w:qFormat/>
    <w:rsid w:val="00C32CD8"/>
    <w:pPr>
      <w:keepNext/>
      <w:keepLines/>
      <w:spacing w:before="360" w:after="80" w:line="276" w:lineRule="auto"/>
      <w:ind w:firstLine="0"/>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2">
    <w:name w:val="heading 2"/>
    <w:basedOn w:val="a"/>
    <w:next w:val="a"/>
    <w:link w:val="20"/>
    <w:uiPriority w:val="9"/>
    <w:semiHidden/>
    <w:unhideWhenUsed/>
    <w:qFormat/>
    <w:rsid w:val="00C32CD8"/>
    <w:pPr>
      <w:keepNext/>
      <w:keepLines/>
      <w:spacing w:before="160" w:after="80" w:line="276" w:lineRule="auto"/>
      <w:ind w:firstLine="0"/>
      <w:outlineLvl w:val="1"/>
    </w:pPr>
    <w:rPr>
      <w:rFonts w:asciiTheme="majorHAnsi" w:eastAsiaTheme="majorEastAsia" w:hAnsiTheme="majorHAnsi" w:cstheme="majorBidi"/>
      <w:color w:val="365F91" w:themeColor="accent1" w:themeShade="BF"/>
      <w:kern w:val="2"/>
      <w:sz w:val="32"/>
      <w:szCs w:val="32"/>
      <w14:ligatures w14:val="standardContextual"/>
    </w:rPr>
  </w:style>
  <w:style w:type="paragraph" w:styleId="3">
    <w:name w:val="heading 3"/>
    <w:basedOn w:val="a"/>
    <w:next w:val="a"/>
    <w:link w:val="30"/>
    <w:uiPriority w:val="9"/>
    <w:semiHidden/>
    <w:unhideWhenUsed/>
    <w:qFormat/>
    <w:rsid w:val="00C32CD8"/>
    <w:pPr>
      <w:keepNext/>
      <w:keepLines/>
      <w:spacing w:before="160" w:after="80" w:line="276" w:lineRule="auto"/>
      <w:ind w:firstLine="0"/>
      <w:outlineLvl w:val="2"/>
    </w:pPr>
    <w:rPr>
      <w:rFonts w:asciiTheme="minorHAnsi" w:eastAsiaTheme="majorEastAsia" w:hAnsiTheme="minorHAnsi" w:cstheme="majorBidi"/>
      <w:color w:val="365F91" w:themeColor="accent1" w:themeShade="BF"/>
      <w:kern w:val="2"/>
      <w:sz w:val="28"/>
      <w:szCs w:val="28"/>
      <w14:ligatures w14:val="standardContextual"/>
    </w:rPr>
  </w:style>
  <w:style w:type="paragraph" w:styleId="4">
    <w:name w:val="heading 4"/>
    <w:basedOn w:val="a"/>
    <w:next w:val="a"/>
    <w:link w:val="40"/>
    <w:uiPriority w:val="9"/>
    <w:semiHidden/>
    <w:unhideWhenUsed/>
    <w:qFormat/>
    <w:rsid w:val="00C32CD8"/>
    <w:pPr>
      <w:keepNext/>
      <w:keepLines/>
      <w:spacing w:before="80" w:after="40" w:line="276" w:lineRule="auto"/>
      <w:ind w:firstLine="0"/>
      <w:outlineLvl w:val="3"/>
    </w:pPr>
    <w:rPr>
      <w:rFonts w:asciiTheme="minorHAnsi" w:eastAsiaTheme="majorEastAsia" w:hAnsiTheme="minorHAnsi" w:cstheme="majorBidi"/>
      <w:i/>
      <w:iCs/>
      <w:color w:val="365F91" w:themeColor="accent1" w:themeShade="BF"/>
      <w:kern w:val="2"/>
      <w:sz w:val="24"/>
      <w:szCs w:val="22"/>
      <w14:ligatures w14:val="standardContextual"/>
    </w:rPr>
  </w:style>
  <w:style w:type="paragraph" w:styleId="5">
    <w:name w:val="heading 5"/>
    <w:basedOn w:val="a"/>
    <w:next w:val="a"/>
    <w:link w:val="50"/>
    <w:uiPriority w:val="9"/>
    <w:semiHidden/>
    <w:unhideWhenUsed/>
    <w:qFormat/>
    <w:rsid w:val="00C32CD8"/>
    <w:pPr>
      <w:keepNext/>
      <w:keepLines/>
      <w:spacing w:before="80" w:after="40" w:line="276" w:lineRule="auto"/>
      <w:ind w:firstLine="0"/>
      <w:outlineLvl w:val="4"/>
    </w:pPr>
    <w:rPr>
      <w:rFonts w:asciiTheme="minorHAnsi" w:eastAsiaTheme="majorEastAsia" w:hAnsiTheme="minorHAnsi" w:cstheme="majorBidi"/>
      <w:color w:val="365F91" w:themeColor="accent1" w:themeShade="BF"/>
      <w:kern w:val="2"/>
      <w:sz w:val="24"/>
      <w:szCs w:val="22"/>
      <w14:ligatures w14:val="standardContextual"/>
    </w:rPr>
  </w:style>
  <w:style w:type="paragraph" w:styleId="6">
    <w:name w:val="heading 6"/>
    <w:basedOn w:val="a"/>
    <w:next w:val="a"/>
    <w:link w:val="60"/>
    <w:uiPriority w:val="9"/>
    <w:semiHidden/>
    <w:unhideWhenUsed/>
    <w:qFormat/>
    <w:rsid w:val="00C32CD8"/>
    <w:pPr>
      <w:keepNext/>
      <w:keepLines/>
      <w:spacing w:before="40" w:line="276" w:lineRule="auto"/>
      <w:ind w:firstLine="0"/>
      <w:outlineLvl w:val="5"/>
    </w:pPr>
    <w:rPr>
      <w:rFonts w:asciiTheme="minorHAnsi" w:eastAsiaTheme="majorEastAsia" w:hAnsiTheme="minorHAnsi" w:cstheme="majorBidi"/>
      <w:i/>
      <w:iCs/>
      <w:color w:val="595959" w:themeColor="text1" w:themeTint="A6"/>
      <w:kern w:val="2"/>
      <w:sz w:val="24"/>
      <w:szCs w:val="22"/>
      <w14:ligatures w14:val="standardContextual"/>
    </w:rPr>
  </w:style>
  <w:style w:type="paragraph" w:styleId="7">
    <w:name w:val="heading 7"/>
    <w:basedOn w:val="a"/>
    <w:next w:val="a"/>
    <w:link w:val="70"/>
    <w:uiPriority w:val="9"/>
    <w:semiHidden/>
    <w:unhideWhenUsed/>
    <w:qFormat/>
    <w:rsid w:val="00C32CD8"/>
    <w:pPr>
      <w:keepNext/>
      <w:keepLines/>
      <w:spacing w:before="40" w:line="276" w:lineRule="auto"/>
      <w:ind w:firstLine="0"/>
      <w:outlineLvl w:val="6"/>
    </w:pPr>
    <w:rPr>
      <w:rFonts w:asciiTheme="minorHAnsi" w:eastAsiaTheme="majorEastAsia" w:hAnsiTheme="minorHAnsi" w:cstheme="majorBidi"/>
      <w:color w:val="595959" w:themeColor="text1" w:themeTint="A6"/>
      <w:kern w:val="2"/>
      <w:sz w:val="24"/>
      <w:szCs w:val="22"/>
      <w14:ligatures w14:val="standardContextual"/>
    </w:rPr>
  </w:style>
  <w:style w:type="paragraph" w:styleId="8">
    <w:name w:val="heading 8"/>
    <w:basedOn w:val="a"/>
    <w:next w:val="a"/>
    <w:link w:val="80"/>
    <w:uiPriority w:val="9"/>
    <w:semiHidden/>
    <w:unhideWhenUsed/>
    <w:qFormat/>
    <w:rsid w:val="00C32CD8"/>
    <w:pPr>
      <w:keepNext/>
      <w:keepLines/>
      <w:spacing w:line="276" w:lineRule="auto"/>
      <w:ind w:firstLine="0"/>
      <w:outlineLvl w:val="7"/>
    </w:pPr>
    <w:rPr>
      <w:rFonts w:asciiTheme="minorHAnsi" w:eastAsiaTheme="majorEastAsia" w:hAnsiTheme="minorHAnsi" w:cstheme="majorBidi"/>
      <w:i/>
      <w:iCs/>
      <w:color w:val="272727" w:themeColor="text1" w:themeTint="D8"/>
      <w:kern w:val="2"/>
      <w:sz w:val="24"/>
      <w:szCs w:val="22"/>
      <w14:ligatures w14:val="standardContextual"/>
    </w:rPr>
  </w:style>
  <w:style w:type="paragraph" w:styleId="9">
    <w:name w:val="heading 9"/>
    <w:basedOn w:val="a"/>
    <w:next w:val="a"/>
    <w:link w:val="90"/>
    <w:uiPriority w:val="9"/>
    <w:semiHidden/>
    <w:unhideWhenUsed/>
    <w:qFormat/>
    <w:rsid w:val="00C32CD8"/>
    <w:pPr>
      <w:keepNext/>
      <w:keepLines/>
      <w:spacing w:line="276" w:lineRule="auto"/>
      <w:ind w:firstLine="0"/>
      <w:outlineLvl w:val="8"/>
    </w:pPr>
    <w:rPr>
      <w:rFonts w:asciiTheme="minorHAnsi" w:eastAsiaTheme="majorEastAsia" w:hAnsiTheme="minorHAnsi" w:cstheme="majorBidi"/>
      <w:color w:val="272727" w:themeColor="text1" w:themeTint="D8"/>
      <w:kern w:val="2"/>
      <w:sz w:val="24"/>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32CD8"/>
    <w:rPr>
      <w:rFonts w:asciiTheme="majorHAnsi" w:eastAsiaTheme="majorEastAsia" w:hAnsiTheme="majorHAnsi" w:cstheme="majorBidi"/>
      <w:color w:val="365F91" w:themeColor="accent1" w:themeShade="BF"/>
      <w:sz w:val="40"/>
      <w:szCs w:val="40"/>
    </w:rPr>
  </w:style>
  <w:style w:type="character" w:customStyle="1" w:styleId="20">
    <w:name w:val="Заголовок 2 Знак"/>
    <w:basedOn w:val="a0"/>
    <w:link w:val="2"/>
    <w:uiPriority w:val="9"/>
    <w:semiHidden/>
    <w:rsid w:val="00C32CD8"/>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semiHidden/>
    <w:rsid w:val="00C32CD8"/>
    <w:rPr>
      <w:rFonts w:eastAsiaTheme="majorEastAsia" w:cstheme="majorBidi"/>
      <w:color w:val="365F91" w:themeColor="accent1" w:themeShade="BF"/>
      <w:sz w:val="28"/>
      <w:szCs w:val="28"/>
    </w:rPr>
  </w:style>
  <w:style w:type="character" w:customStyle="1" w:styleId="40">
    <w:name w:val="Заголовок 4 Знак"/>
    <w:basedOn w:val="a0"/>
    <w:link w:val="4"/>
    <w:uiPriority w:val="9"/>
    <w:semiHidden/>
    <w:rsid w:val="00C32CD8"/>
    <w:rPr>
      <w:rFonts w:eastAsiaTheme="majorEastAsia" w:cstheme="majorBidi"/>
      <w:i/>
      <w:iCs/>
      <w:color w:val="365F91" w:themeColor="accent1" w:themeShade="BF"/>
      <w:sz w:val="24"/>
    </w:rPr>
  </w:style>
  <w:style w:type="character" w:customStyle="1" w:styleId="50">
    <w:name w:val="Заголовок 5 Знак"/>
    <w:basedOn w:val="a0"/>
    <w:link w:val="5"/>
    <w:uiPriority w:val="9"/>
    <w:semiHidden/>
    <w:rsid w:val="00C32CD8"/>
    <w:rPr>
      <w:rFonts w:eastAsiaTheme="majorEastAsia" w:cstheme="majorBidi"/>
      <w:color w:val="365F91" w:themeColor="accent1" w:themeShade="BF"/>
      <w:sz w:val="24"/>
    </w:rPr>
  </w:style>
  <w:style w:type="character" w:customStyle="1" w:styleId="60">
    <w:name w:val="Заголовок 6 Знак"/>
    <w:basedOn w:val="a0"/>
    <w:link w:val="6"/>
    <w:uiPriority w:val="9"/>
    <w:semiHidden/>
    <w:rsid w:val="00C32CD8"/>
    <w:rPr>
      <w:rFonts w:eastAsiaTheme="majorEastAsia" w:cstheme="majorBidi"/>
      <w:i/>
      <w:iCs/>
      <w:color w:val="595959" w:themeColor="text1" w:themeTint="A6"/>
      <w:sz w:val="24"/>
    </w:rPr>
  </w:style>
  <w:style w:type="character" w:customStyle="1" w:styleId="70">
    <w:name w:val="Заголовок 7 Знак"/>
    <w:basedOn w:val="a0"/>
    <w:link w:val="7"/>
    <w:uiPriority w:val="9"/>
    <w:semiHidden/>
    <w:rsid w:val="00C32CD8"/>
    <w:rPr>
      <w:rFonts w:eastAsiaTheme="majorEastAsia" w:cstheme="majorBidi"/>
      <w:color w:val="595959" w:themeColor="text1" w:themeTint="A6"/>
      <w:sz w:val="24"/>
    </w:rPr>
  </w:style>
  <w:style w:type="character" w:customStyle="1" w:styleId="80">
    <w:name w:val="Заголовок 8 Знак"/>
    <w:basedOn w:val="a0"/>
    <w:link w:val="8"/>
    <w:uiPriority w:val="9"/>
    <w:semiHidden/>
    <w:rsid w:val="00C32CD8"/>
    <w:rPr>
      <w:rFonts w:eastAsiaTheme="majorEastAsia" w:cstheme="majorBidi"/>
      <w:i/>
      <w:iCs/>
      <w:color w:val="272727" w:themeColor="text1" w:themeTint="D8"/>
      <w:sz w:val="24"/>
    </w:rPr>
  </w:style>
  <w:style w:type="character" w:customStyle="1" w:styleId="90">
    <w:name w:val="Заголовок 9 Знак"/>
    <w:basedOn w:val="a0"/>
    <w:link w:val="9"/>
    <w:uiPriority w:val="9"/>
    <w:semiHidden/>
    <w:rsid w:val="00C32CD8"/>
    <w:rPr>
      <w:rFonts w:eastAsiaTheme="majorEastAsia" w:cstheme="majorBidi"/>
      <w:color w:val="272727" w:themeColor="text1" w:themeTint="D8"/>
      <w:sz w:val="24"/>
    </w:rPr>
  </w:style>
  <w:style w:type="paragraph" w:styleId="a3">
    <w:name w:val="Title"/>
    <w:basedOn w:val="a"/>
    <w:next w:val="a"/>
    <w:link w:val="a4"/>
    <w:uiPriority w:val="10"/>
    <w:qFormat/>
    <w:rsid w:val="00C32CD8"/>
    <w:pPr>
      <w:spacing w:after="80"/>
      <w:ind w:firstLine="0"/>
      <w:contextualSpacing/>
    </w:pPr>
    <w:rPr>
      <w:rFonts w:asciiTheme="majorHAnsi" w:eastAsiaTheme="majorEastAsia" w:hAnsiTheme="majorHAnsi" w:cstheme="majorBidi"/>
      <w:spacing w:val="-10"/>
      <w:kern w:val="28"/>
      <w:sz w:val="56"/>
      <w:szCs w:val="56"/>
      <w14:ligatures w14:val="standardContextual"/>
    </w:rPr>
  </w:style>
  <w:style w:type="character" w:customStyle="1" w:styleId="a4">
    <w:name w:val="Заголовок Знак"/>
    <w:basedOn w:val="a0"/>
    <w:link w:val="a3"/>
    <w:uiPriority w:val="10"/>
    <w:rsid w:val="00C32CD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32CD8"/>
    <w:pPr>
      <w:numPr>
        <w:ilvl w:val="1"/>
      </w:numPr>
      <w:spacing w:after="160" w:line="276"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a6">
    <w:name w:val="Подзаголовок Знак"/>
    <w:basedOn w:val="a0"/>
    <w:link w:val="a5"/>
    <w:uiPriority w:val="11"/>
    <w:rsid w:val="00C32CD8"/>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32CD8"/>
    <w:pPr>
      <w:spacing w:before="160" w:after="160" w:line="276" w:lineRule="auto"/>
      <w:ind w:firstLine="0"/>
      <w:jc w:val="center"/>
    </w:pPr>
    <w:rPr>
      <w:rFonts w:eastAsiaTheme="minorHAnsi" w:cstheme="minorBidi"/>
      <w:i/>
      <w:iCs/>
      <w:color w:val="404040" w:themeColor="text1" w:themeTint="BF"/>
      <w:kern w:val="2"/>
      <w:sz w:val="24"/>
      <w:szCs w:val="22"/>
      <w14:ligatures w14:val="standardContextual"/>
    </w:rPr>
  </w:style>
  <w:style w:type="character" w:customStyle="1" w:styleId="22">
    <w:name w:val="Цитата 2 Знак"/>
    <w:basedOn w:val="a0"/>
    <w:link w:val="21"/>
    <w:uiPriority w:val="29"/>
    <w:rsid w:val="00C32CD8"/>
    <w:rPr>
      <w:rFonts w:ascii="Times New Roman" w:hAnsi="Times New Roman"/>
      <w:i/>
      <w:iCs/>
      <w:color w:val="404040" w:themeColor="text1" w:themeTint="BF"/>
      <w:sz w:val="24"/>
    </w:rPr>
  </w:style>
  <w:style w:type="paragraph" w:styleId="a7">
    <w:name w:val="List Paragraph"/>
    <w:basedOn w:val="a"/>
    <w:uiPriority w:val="34"/>
    <w:qFormat/>
    <w:rsid w:val="00C32CD8"/>
    <w:pPr>
      <w:spacing w:after="200" w:line="276" w:lineRule="auto"/>
      <w:ind w:left="720" w:firstLine="0"/>
      <w:contextualSpacing/>
    </w:pPr>
    <w:rPr>
      <w:rFonts w:eastAsiaTheme="minorHAnsi" w:cstheme="minorBidi"/>
      <w:kern w:val="2"/>
      <w:sz w:val="24"/>
      <w:szCs w:val="22"/>
      <w14:ligatures w14:val="standardContextual"/>
    </w:rPr>
  </w:style>
  <w:style w:type="character" w:styleId="a8">
    <w:name w:val="Intense Emphasis"/>
    <w:basedOn w:val="a0"/>
    <w:uiPriority w:val="21"/>
    <w:qFormat/>
    <w:rsid w:val="00C32CD8"/>
    <w:rPr>
      <w:i/>
      <w:iCs/>
      <w:color w:val="365F91" w:themeColor="accent1" w:themeShade="BF"/>
    </w:rPr>
  </w:style>
  <w:style w:type="paragraph" w:styleId="a9">
    <w:name w:val="Intense Quote"/>
    <w:basedOn w:val="a"/>
    <w:next w:val="a"/>
    <w:link w:val="aa"/>
    <w:uiPriority w:val="30"/>
    <w:qFormat/>
    <w:rsid w:val="00C32CD8"/>
    <w:pPr>
      <w:pBdr>
        <w:top w:val="single" w:sz="4" w:space="10" w:color="365F91" w:themeColor="accent1" w:themeShade="BF"/>
        <w:bottom w:val="single" w:sz="4" w:space="10" w:color="365F91" w:themeColor="accent1" w:themeShade="BF"/>
      </w:pBdr>
      <w:spacing w:before="360" w:after="360" w:line="276" w:lineRule="auto"/>
      <w:ind w:left="864" w:right="864" w:firstLine="0"/>
      <w:jc w:val="center"/>
    </w:pPr>
    <w:rPr>
      <w:rFonts w:eastAsiaTheme="minorHAnsi" w:cstheme="minorBidi"/>
      <w:i/>
      <w:iCs/>
      <w:color w:val="365F91" w:themeColor="accent1" w:themeShade="BF"/>
      <w:kern w:val="2"/>
      <w:sz w:val="24"/>
      <w:szCs w:val="22"/>
      <w14:ligatures w14:val="standardContextual"/>
    </w:rPr>
  </w:style>
  <w:style w:type="character" w:customStyle="1" w:styleId="aa">
    <w:name w:val="Выделенная цитата Знак"/>
    <w:basedOn w:val="a0"/>
    <w:link w:val="a9"/>
    <w:uiPriority w:val="30"/>
    <w:rsid w:val="00C32CD8"/>
    <w:rPr>
      <w:rFonts w:ascii="Times New Roman" w:hAnsi="Times New Roman"/>
      <w:i/>
      <w:iCs/>
      <w:color w:val="365F91" w:themeColor="accent1" w:themeShade="BF"/>
      <w:sz w:val="24"/>
    </w:rPr>
  </w:style>
  <w:style w:type="character" w:styleId="ab">
    <w:name w:val="Intense Reference"/>
    <w:basedOn w:val="a0"/>
    <w:uiPriority w:val="32"/>
    <w:qFormat/>
    <w:rsid w:val="00C32CD8"/>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959</Words>
  <Characters>6753</Characters>
  <Application>Microsoft Office Word</Application>
  <DocSecurity>0</DocSecurity>
  <Lines>562</Lines>
  <Paragraphs>226</Paragraphs>
  <ScaleCrop>false</ScaleCrop>
  <Company/>
  <LinksUpToDate>false</LinksUpToDate>
  <CharactersWithSpaces>7486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Gavriliuc</dc:creator>
  <cp:keywords/>
  <dc:description/>
  <cp:lastModifiedBy>Lucia Gavriliuc</cp:lastModifiedBy>
  <cp:revision>1</cp:revision>
  <dcterms:created xsi:type="dcterms:W3CDTF">2026-02-12T09:03:00Z</dcterms:created>
  <dcterms:modified xsi:type="dcterms:W3CDTF">2026-02-12T09:04:00Z</dcterms:modified>
</cp:coreProperties>
</file>